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EC5" w:rsidRPr="00E3069B" w:rsidRDefault="00664EC5" w:rsidP="00664EC5">
      <w:pPr>
        <w:keepNext/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MS Mincho" w:hAnsi="Times New Roman" w:cs="Times New Roman"/>
          <w:b/>
          <w:noProof/>
          <w:color w:val="000000"/>
          <w:sz w:val="24"/>
          <w:szCs w:val="24"/>
          <w:lang w:eastAsia="uk-UA"/>
        </w:rPr>
        <w:drawing>
          <wp:inline distT="0" distB="0" distL="0" distR="0" wp14:anchorId="03E20AD9" wp14:editId="11C6E879">
            <wp:extent cx="511810" cy="640080"/>
            <wp:effectExtent l="0" t="0" r="254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64EC5" w:rsidRPr="00E3069B" w:rsidRDefault="00664EC5" w:rsidP="00664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E3069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БУЧАНСЬКА МІСЬКА  РАДА</w:t>
      </w:r>
    </w:p>
    <w:p w:rsidR="00664EC5" w:rsidRPr="00E3069B" w:rsidRDefault="00664EC5" w:rsidP="00664EC5">
      <w:pPr>
        <w:keepNext/>
        <w:pBdr>
          <w:bottom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MS Mincho" w:hAnsi="Times New Roman" w:cs="Times New Roman"/>
          <w:b/>
          <w:bCs/>
          <w:sz w:val="28"/>
          <w:szCs w:val="28"/>
          <w:lang w:eastAsia="uk-UA"/>
        </w:rPr>
      </w:pPr>
      <w:r w:rsidRPr="00E3069B">
        <w:rPr>
          <w:rFonts w:ascii="Times New Roman" w:eastAsia="MS Mincho" w:hAnsi="Times New Roman" w:cs="Times New Roman"/>
          <w:b/>
          <w:bCs/>
          <w:sz w:val="28"/>
          <w:szCs w:val="28"/>
          <w:lang w:eastAsia="uk-UA"/>
        </w:rPr>
        <w:t>КИЇВСЬКОЇ ОБЛАСТІ</w:t>
      </w:r>
    </w:p>
    <w:p w:rsidR="00664EC5" w:rsidRPr="00E3069B" w:rsidRDefault="00664EC5" w:rsidP="00664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069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ДРУГА   </w:t>
      </w:r>
      <w:r w:rsidRPr="00E306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СЕСІЯ    ВОСЬМОГО    СКЛИКАННЯ</w:t>
      </w:r>
    </w:p>
    <w:p w:rsidR="00664EC5" w:rsidRPr="00E3069B" w:rsidRDefault="00664EC5" w:rsidP="00664EC5">
      <w:pPr>
        <w:keepNext/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Courier New" w:eastAsia="MS Mincho" w:hAnsi="Courier New" w:cs="Courier New"/>
          <w:b/>
          <w:color w:val="000000"/>
          <w:sz w:val="24"/>
          <w:szCs w:val="24"/>
          <w:lang w:eastAsia="uk-UA"/>
        </w:rPr>
      </w:pPr>
    </w:p>
    <w:p w:rsidR="00664EC5" w:rsidRPr="00E3069B" w:rsidRDefault="00664EC5" w:rsidP="00664EC5">
      <w:pPr>
        <w:keepNext/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color w:val="000000"/>
          <w:sz w:val="28"/>
          <w:szCs w:val="28"/>
          <w:lang w:val="ru-RU" w:eastAsia="uk-UA"/>
        </w:rPr>
      </w:pPr>
      <w:r w:rsidRPr="00E3069B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 xml:space="preserve">Р  І   Ш   Е   Н   </w:t>
      </w:r>
      <w:proofErr w:type="spellStart"/>
      <w:r w:rsidRPr="00E3069B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>Н</w:t>
      </w:r>
      <w:proofErr w:type="spellEnd"/>
      <w:r w:rsidRPr="00E3069B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 xml:space="preserve">   Я</w:t>
      </w:r>
    </w:p>
    <w:p w:rsidR="00664EC5" w:rsidRPr="00E3069B" w:rsidRDefault="00664EC5" w:rsidP="00664E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</w:p>
    <w:p w:rsidR="00664EC5" w:rsidRPr="00E3069B" w:rsidRDefault="00664EC5" w:rsidP="00664EC5">
      <w:pPr>
        <w:keepNext/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uk-UA"/>
        </w:rPr>
        <w:t>02</w:t>
      </w:r>
      <w:r w:rsidRPr="00E3069B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uk-UA"/>
        </w:rPr>
        <w:t xml:space="preserve">  грудня 2020 року </w:t>
      </w:r>
      <w:r w:rsidRPr="00E3069B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uk-UA"/>
        </w:rPr>
        <w:tab/>
      </w:r>
      <w:r w:rsidRPr="00E3069B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uk-UA"/>
        </w:rPr>
        <w:tab/>
      </w:r>
      <w:r w:rsidRPr="00E3069B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uk-UA"/>
        </w:rPr>
        <w:tab/>
      </w:r>
      <w:r w:rsidRPr="00E3069B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uk-UA"/>
        </w:rPr>
        <w:tab/>
      </w:r>
      <w:r w:rsidRPr="00E3069B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uk-UA"/>
        </w:rPr>
        <w:tab/>
        <w:t xml:space="preserve">  </w:t>
      </w:r>
      <w:r w:rsidR="00143D4E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uk-UA"/>
        </w:rPr>
        <w:tab/>
      </w:r>
      <w:r w:rsidR="00143D4E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uk-UA"/>
        </w:rPr>
        <w:tab/>
        <w:t xml:space="preserve">      </w:t>
      </w:r>
      <w:r w:rsidRPr="00E3069B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uk-UA"/>
        </w:rPr>
        <w:t xml:space="preserve">               № </w:t>
      </w:r>
      <w:r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uk-UA"/>
        </w:rPr>
        <w:t>55</w:t>
      </w:r>
      <w:r w:rsidRPr="00E3069B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uk-UA"/>
        </w:rPr>
        <w:t>-</w:t>
      </w:r>
      <w:r w:rsidRPr="00E3069B">
        <w:rPr>
          <w:rFonts w:ascii="Times New Roman" w:eastAsia="MS Mincho" w:hAnsi="Times New Roman" w:cs="Times New Roman"/>
          <w:b/>
          <w:color w:val="000000"/>
          <w:sz w:val="24"/>
          <w:szCs w:val="24"/>
          <w:lang w:val="ru-RU" w:eastAsia="uk-UA"/>
        </w:rPr>
        <w:t>2</w:t>
      </w:r>
      <w:r w:rsidRPr="00E3069B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uk-UA"/>
        </w:rPr>
        <w:t>-</w:t>
      </w:r>
      <w:r w:rsidRPr="00E3069B">
        <w:rPr>
          <w:rFonts w:ascii="Times New Roman" w:eastAsia="MS Mincho" w:hAnsi="Times New Roman" w:cs="Times New Roman"/>
          <w:b/>
          <w:color w:val="000000"/>
          <w:sz w:val="24"/>
          <w:szCs w:val="24"/>
          <w:lang w:val="en-US" w:eastAsia="uk-UA"/>
        </w:rPr>
        <w:t>V</w:t>
      </w:r>
      <w:r w:rsidRPr="00E3069B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uk-UA"/>
        </w:rPr>
        <w:t>ІІІ</w:t>
      </w:r>
    </w:p>
    <w:p w:rsidR="00664EC5" w:rsidRPr="00E3069B" w:rsidRDefault="00664EC5" w:rsidP="00664EC5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E3069B"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  <w:t xml:space="preserve">          </w:t>
      </w:r>
      <w:r w:rsidRPr="00E3069B"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</w:r>
      <w:r w:rsidRPr="00E3069B"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</w:r>
    </w:p>
    <w:p w:rsidR="00664EC5" w:rsidRPr="00E3069B" w:rsidRDefault="00664EC5" w:rsidP="00664EC5">
      <w:pPr>
        <w:spacing w:after="0" w:line="300" w:lineRule="exac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06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умови оплати праці працівників</w:t>
      </w:r>
    </w:p>
    <w:p w:rsidR="00664EC5" w:rsidRPr="00E3069B" w:rsidRDefault="00664EC5" w:rsidP="00664EC5">
      <w:pPr>
        <w:spacing w:after="0" w:line="300" w:lineRule="exac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06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відділу молоді та спорту </w:t>
      </w:r>
      <w:proofErr w:type="spellStart"/>
      <w:r w:rsidRPr="00E306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Бучанської</w:t>
      </w:r>
      <w:proofErr w:type="spellEnd"/>
    </w:p>
    <w:p w:rsidR="00664EC5" w:rsidRPr="00E3069B" w:rsidRDefault="00664EC5" w:rsidP="00664EC5">
      <w:pPr>
        <w:spacing w:after="0" w:line="300" w:lineRule="exact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E306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міської ради</w:t>
      </w:r>
    </w:p>
    <w:p w:rsidR="00664EC5" w:rsidRPr="00E3069B" w:rsidRDefault="00664EC5" w:rsidP="00664EC5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spacing w:after="0" w:line="240" w:lineRule="auto"/>
        <w:ind w:right="5760"/>
        <w:jc w:val="both"/>
        <w:outlineLvl w:val="0"/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</w:pPr>
      <w:r w:rsidRPr="00E3069B"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  <w:tab/>
      </w:r>
    </w:p>
    <w:p w:rsidR="00664EC5" w:rsidRPr="00E3069B" w:rsidRDefault="00664EC5" w:rsidP="00664EC5">
      <w:pPr>
        <w:tabs>
          <w:tab w:val="left" w:pos="-36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06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виконання постанови Кабінету Міністрів України від 9 березня 2006 р. № 268 « Про упорядкування структури та умови оплати праці працівників апарату органів виконавчої влади, органів прокуратури, судді та інших органів» (зі змінами та доповненнями), наказу Міністерства праці України від 02.10.1996 року № 77 « Про умови оплати праці робітників, зайнятих обслуговуванням органів виконавчої влади, місцевого самоврядування та їх виконавчих органів, </w:t>
      </w:r>
      <w:proofErr w:type="spellStart"/>
      <w:r w:rsidRPr="00E306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органів</w:t>
      </w:r>
      <w:proofErr w:type="spellEnd"/>
      <w:r w:rsidRPr="00E306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прокуратури, суддів та інших органів"»(зі змінами та доповненнями), враховуючи пропозиції постійної депутатської комісії з питань соціально економічного розвитку, </w:t>
      </w:r>
      <w:proofErr w:type="spellStart"/>
      <w:r w:rsidRPr="00E306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підприєництва</w:t>
      </w:r>
      <w:proofErr w:type="spellEnd"/>
      <w:r w:rsidRPr="00E306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житлово-комунального господарства, бюджету, фінансів та інвестування, керуючись Законом України «Про місцеве самоврядування в Україні», міська рада</w:t>
      </w:r>
    </w:p>
    <w:p w:rsidR="00664EC5" w:rsidRPr="00E3069B" w:rsidRDefault="00664EC5" w:rsidP="00664EC5">
      <w:pPr>
        <w:tabs>
          <w:tab w:val="left" w:pos="-368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06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664EC5" w:rsidRPr="00E3069B" w:rsidRDefault="00664EC5" w:rsidP="00664EC5">
      <w:pPr>
        <w:tabs>
          <w:tab w:val="left" w:pos="-368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306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ВИРІШИЛА:</w:t>
      </w:r>
    </w:p>
    <w:p w:rsidR="00664EC5" w:rsidRPr="00E3069B" w:rsidRDefault="00664EC5" w:rsidP="00664EC5">
      <w:pPr>
        <w:spacing w:after="0" w:line="300" w:lineRule="exac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4EC5" w:rsidRPr="00E3069B" w:rsidRDefault="00664EC5" w:rsidP="00664EC5">
      <w:pPr>
        <w:numPr>
          <w:ilvl w:val="0"/>
          <w:numId w:val="1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Установити з 01.01.2021 року керівним працівникам, спеціалістам і службовцям відділу молоді та спорту </w:t>
      </w:r>
      <w:proofErr w:type="spellStart"/>
      <w:r w:rsidRPr="00E3069B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Бучанської</w:t>
      </w:r>
      <w:proofErr w:type="spellEnd"/>
      <w:r w:rsidRPr="00E30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посадові оклади, обов’язкові надбавки, доплати у розмірах, встановлених постановою Кабінету міністрів України від 09.03.2006 року № 268 « Про упорядкування структури та умови оплати праці працівників апарату органів виконавчої влади, органів прокуратури, судді та інших органів» (зі змінами та доповненнями), наказу Міністерства праці України від 02.10.1996 року № 77 « Про умови оплати праці робітників, зайнятих обслуговуванням органів виконавчої влади, місцевого самоврядування та їх виконавчих органів, </w:t>
      </w:r>
      <w:proofErr w:type="spellStart"/>
      <w:r w:rsidRPr="00E3069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E30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прокуратури, суддів та інших органів"» (зі змінами та доповненнями).</w:t>
      </w:r>
    </w:p>
    <w:p w:rsidR="00664EC5" w:rsidRPr="00E3069B" w:rsidRDefault="00664EC5" w:rsidP="00664EC5">
      <w:pPr>
        <w:numPr>
          <w:ilvl w:val="0"/>
          <w:numId w:val="1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формуванні кошторису відділу молоді та спорту </w:t>
      </w:r>
      <w:proofErr w:type="spellStart"/>
      <w:r w:rsidRPr="00E3069B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Бучанської</w:t>
      </w:r>
      <w:proofErr w:type="spellEnd"/>
      <w:r w:rsidRPr="00E30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визначати річний фонд оплати праці керівних працівників, спеціалістів та службовців відділу молоді та спорту </w:t>
      </w:r>
      <w:proofErr w:type="spellStart"/>
      <w:r w:rsidRPr="00E3069B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Бучанської</w:t>
      </w:r>
      <w:proofErr w:type="spellEnd"/>
      <w:r w:rsidRPr="00E30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ради, створений у складі:</w:t>
      </w:r>
    </w:p>
    <w:p w:rsidR="00664EC5" w:rsidRPr="00E3069B" w:rsidRDefault="00664EC5" w:rsidP="00664EC5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6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посадового окладу;</w:t>
      </w:r>
    </w:p>
    <w:p w:rsidR="00664EC5" w:rsidRPr="00E3069B" w:rsidRDefault="00664EC5" w:rsidP="00664EC5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6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надбавки за ранг;</w:t>
      </w:r>
    </w:p>
    <w:p w:rsidR="00664EC5" w:rsidRPr="00E3069B" w:rsidRDefault="00664EC5" w:rsidP="00664EC5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6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надбавки за вислугу років (відсоток від посадового окладу з урахуванням доплати за ранг);</w:t>
      </w:r>
    </w:p>
    <w:p w:rsidR="00664EC5" w:rsidRPr="00E3069B" w:rsidRDefault="00664EC5" w:rsidP="00664EC5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6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надбавки за високі досягнення у праці або за виконання особливо важливої роботи ( у розмірі 50-100% від посадового окладу з урахуванням – надбавки за ранг та вислугу років);</w:t>
      </w:r>
    </w:p>
    <w:p w:rsidR="00664EC5" w:rsidRPr="00E3069B" w:rsidRDefault="00664EC5" w:rsidP="00664EC5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69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доплати за науковий ступінь кандидата або доктора  наук з відповідної спеціальності – у розмірі відповідно 5 і 10 відсотків від посадового окладу;</w:t>
      </w:r>
    </w:p>
    <w:p w:rsidR="00664EC5" w:rsidRPr="00E3069B" w:rsidRDefault="00664EC5" w:rsidP="00664EC5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69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матеріальної допомоги для вирішення соціально – побутових питань та допомоги на оздоровлення ( у розмірах, що не перевищують середньомісячної заробітної плати);</w:t>
      </w:r>
    </w:p>
    <w:p w:rsidR="00664EC5" w:rsidRPr="00E3069B" w:rsidRDefault="00664EC5" w:rsidP="00664EC5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фонду преміювання, створеного відповідно до </w:t>
      </w:r>
      <w:proofErr w:type="spellStart"/>
      <w:r w:rsidRPr="00E306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колек</w:t>
      </w:r>
      <w:r w:rsidRPr="00E3069B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тивного</w:t>
      </w:r>
      <w:proofErr w:type="spellEnd"/>
      <w:r w:rsidRPr="00E30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договору відділу молоді та спорту </w:t>
      </w:r>
      <w:proofErr w:type="spellStart"/>
      <w:r w:rsidRPr="00E3069B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Бучанської</w:t>
      </w:r>
      <w:proofErr w:type="spellEnd"/>
      <w:r w:rsidRPr="00E30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ради.</w:t>
      </w:r>
    </w:p>
    <w:p w:rsidR="00664EC5" w:rsidRPr="00E3069B" w:rsidRDefault="00664EC5" w:rsidP="00664EC5">
      <w:pPr>
        <w:numPr>
          <w:ilvl w:val="0"/>
          <w:numId w:val="1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Встановити керівним працівникам, спеціалістам та службовцям, посадові оклади відповідно до п.1, п.2 та додатків 51, 55 Постанови </w:t>
      </w:r>
      <w:r w:rsidR="00900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bookmarkStart w:id="0" w:name="_GoBack"/>
      <w:bookmarkEnd w:id="0"/>
      <w:r w:rsidRPr="00E3069B">
        <w:rPr>
          <w:rFonts w:ascii="Times New Roman" w:eastAsia="Times New Roman" w:hAnsi="Times New Roman" w:cs="Times New Roman"/>
          <w:sz w:val="28"/>
          <w:szCs w:val="28"/>
          <w:lang w:eastAsia="ru-RU"/>
        </w:rPr>
        <w:t>№ 268 від 09.03.2006 р. (зі змінами).</w:t>
      </w:r>
    </w:p>
    <w:p w:rsidR="00664EC5" w:rsidRPr="00E3069B" w:rsidRDefault="00664EC5" w:rsidP="00664EC5">
      <w:pPr>
        <w:numPr>
          <w:ilvl w:val="0"/>
          <w:numId w:val="1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Здійснювати щомісячне преміювання керівним працівникам, спеціалістам і службовцям відділу молоді та спорту </w:t>
      </w:r>
      <w:proofErr w:type="spellStart"/>
      <w:r w:rsidRPr="00E3069B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Бучанської</w:t>
      </w:r>
      <w:proofErr w:type="spellEnd"/>
      <w:r w:rsidRPr="00E30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ради, відповідно до їх особистого вкладу в загальні результати роботи, а також до державних, професійних свят та ювілейних дат, за підсумками роботи за квартал, рік, на підставі розпорядження міського голови та рішенням керівника установи та у межах фонду преміювання, утвореного у розмірі не менше як 10 відсотків посадових окладів, та економії фонду оплати праці. Конкретні умови, порядок та розміри преміювання працівників визначаються відповідно до колективного договору відділу молоді та спорту </w:t>
      </w:r>
      <w:proofErr w:type="spellStart"/>
      <w:r w:rsidRPr="00E3069B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Бучанської</w:t>
      </w:r>
      <w:proofErr w:type="spellEnd"/>
      <w:r w:rsidRPr="00E30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ради.</w:t>
      </w:r>
    </w:p>
    <w:p w:rsidR="00664EC5" w:rsidRPr="00E3069B" w:rsidRDefault="00664EC5" w:rsidP="00664EC5">
      <w:pPr>
        <w:numPr>
          <w:ilvl w:val="0"/>
          <w:numId w:val="1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Покласти персональну відповідальність за використання коштів фонду оплати праці на керівника відділу молоді та спорту </w:t>
      </w:r>
      <w:proofErr w:type="spellStart"/>
      <w:r w:rsidRPr="00E3069B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Бучанської</w:t>
      </w:r>
      <w:proofErr w:type="spellEnd"/>
      <w:r w:rsidRPr="00E30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ради.</w:t>
      </w:r>
    </w:p>
    <w:p w:rsidR="00664EC5" w:rsidRPr="00E3069B" w:rsidRDefault="00664EC5" w:rsidP="00664EC5">
      <w:pPr>
        <w:numPr>
          <w:ilvl w:val="0"/>
          <w:numId w:val="1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Затвердити штатний розпис відділу молоді та спорту </w:t>
      </w:r>
      <w:proofErr w:type="spellStart"/>
      <w:r w:rsidRPr="00E3069B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Бучанської</w:t>
      </w:r>
      <w:proofErr w:type="spellEnd"/>
      <w:r w:rsidRPr="00E30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по КПК 1110160 з 01.01.2021 року (додаток до рішення).</w:t>
      </w:r>
    </w:p>
    <w:p w:rsidR="00664EC5" w:rsidRPr="00E3069B" w:rsidRDefault="00664EC5" w:rsidP="00664EC5">
      <w:pPr>
        <w:numPr>
          <w:ilvl w:val="0"/>
          <w:numId w:val="1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69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Умови оплати праці, затверджені цим рішенням, застосовуються з 01 січня 2021 року.</w:t>
      </w:r>
    </w:p>
    <w:p w:rsidR="00664EC5" w:rsidRPr="00E3069B" w:rsidRDefault="00664EC5" w:rsidP="00664EC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6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комісію 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та комісію з питань планування, бюджету, фінансів та податкової політики.</w:t>
      </w:r>
    </w:p>
    <w:p w:rsidR="00664EC5" w:rsidRPr="00E3069B" w:rsidRDefault="00664EC5" w:rsidP="00664EC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4EC5" w:rsidRPr="00E3069B" w:rsidRDefault="00664EC5" w:rsidP="00664E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306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Міський голова                                                                               А.П.</w:t>
      </w:r>
      <w:r w:rsidRPr="00E306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 </w:t>
      </w:r>
      <w:proofErr w:type="spellStart"/>
      <w:r w:rsidRPr="00E306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Федорук</w:t>
      </w:r>
      <w:proofErr w:type="spellEnd"/>
    </w:p>
    <w:p w:rsidR="00664EC5" w:rsidRPr="00E3069B" w:rsidRDefault="00664EC5" w:rsidP="00664E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4EC5" w:rsidRPr="00E3069B" w:rsidRDefault="00664EC5" w:rsidP="00664E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4EC5" w:rsidRDefault="00664EC5" w:rsidP="00664E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75401" w:rsidRDefault="00E75401"/>
    <w:sectPr w:rsidR="00E7540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55111"/>
    <w:multiLevelType w:val="hybridMultilevel"/>
    <w:tmpl w:val="34DC233A"/>
    <w:lvl w:ilvl="0" w:tplc="12D26B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5EB1976"/>
    <w:multiLevelType w:val="hybridMultilevel"/>
    <w:tmpl w:val="F31E5370"/>
    <w:lvl w:ilvl="0" w:tplc="2CB80A7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0A1"/>
    <w:rsid w:val="00143D4E"/>
    <w:rsid w:val="00664EC5"/>
    <w:rsid w:val="0090095F"/>
    <w:rsid w:val="00A410A1"/>
    <w:rsid w:val="00E75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4E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4E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2742</Words>
  <Characters>1564</Characters>
  <Application>Microsoft Office Word</Application>
  <DocSecurity>0</DocSecurity>
  <Lines>13</Lines>
  <Paragraphs>8</Paragraphs>
  <ScaleCrop>false</ScaleCrop>
  <Company/>
  <LinksUpToDate>false</LinksUpToDate>
  <CharactersWithSpaces>4298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2020-12-03T06:26:00Z</dcterms:created>
  <dcterms:modified xsi:type="dcterms:W3CDTF">2020-12-03T06:37:00Z</dcterms:modified>
</cp:coreProperties>
</file>